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36FE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C8972A" w:sz="4" w:space="0"/>
              <w:left w:val="single" w:color="C8972A" w:sz="4" w:space="0"/>
              <w:bottom w:val="single" w:color="C8972A" w:sz="4" w:space="0"/>
              <w:right w:val="single" w:color="C8972A" w:sz="4" w:space="0"/>
            </w:tcBorders>
            <w:shd w:val="clear" w:color="auto" w:fill="1B3A6B"/>
            <w:tcMar>
              <w:top w:w="0" w:type="dxa"/>
              <w:left w:w="0" w:type="dxa"/>
              <w:bottom w:w="0" w:type="dxa"/>
              <w:right w:w="0" w:type="dxa"/>
            </w:tcMar>
          </w:tcPr>
          <w:p w14:paraId="6F0E652C">
            <w:pPr>
              <w:spacing w:before="100" w:after="40"/>
              <w:jc w:val="center"/>
              <w:rPr>
                <w:sz w:val="24"/>
                <w:szCs w:val="24"/>
              </w:rPr>
            </w:pPr>
            <w:bookmarkStart w:id="0" w:name="_GoBack"/>
            <w:bookmarkEnd w:id="0"/>
            <w:r>
              <w:rPr>
                <w:rFonts w:ascii="Arial" w:hAnsi="Arial" w:eastAsia="Arial" w:cs="Arial"/>
                <w:b/>
                <w:bCs/>
                <w:caps/>
                <w:color w:val="C8972A"/>
                <w:sz w:val="24"/>
                <w:szCs w:val="24"/>
              </w:rPr>
              <w:t>TEACHMINDS CENTER OF TEACHING AND LEARNING EXCELLENCE</w:t>
            </w:r>
          </w:p>
          <w:p w14:paraId="1F1AD896">
            <w:pPr>
              <w:spacing w:before="0" w:after="100"/>
              <w:jc w:val="center"/>
            </w:pPr>
            <w:r>
              <w:rPr>
                <w:rFonts w:ascii="Arial" w:hAnsi="Arial" w:eastAsia="Arial" w:cs="Arial"/>
                <w:b/>
                <w:bCs/>
                <w:caps/>
                <w:color w:val="EAF4F7"/>
                <w:sz w:val="24"/>
                <w:szCs w:val="24"/>
              </w:rPr>
              <w:t>FREE PROFESSIONAL RESOURCE FOR TEACHERS</w:t>
            </w:r>
          </w:p>
        </w:tc>
      </w:tr>
    </w:tbl>
    <w:p w14:paraId="0607435C">
      <w:pPr>
        <w:spacing w:before="80" w:after="40"/>
      </w:pPr>
    </w:p>
    <w:p w14:paraId="3553601D">
      <w:pPr>
        <w:spacing w:before="0" w:after="0"/>
        <w:jc w:val="center"/>
      </w:pPr>
      <w:r>
        <w:rPr>
          <w:rFonts w:ascii="Arial" w:hAnsi="Arial" w:eastAsia="Arial" w:cs="Arial"/>
          <w:b/>
          <w:bCs/>
          <w:color w:val="1B3A6B"/>
          <w:sz w:val="48"/>
          <w:szCs w:val="48"/>
        </w:rPr>
        <w:t>3 Classroom Strategies That</w:t>
      </w:r>
    </w:p>
    <w:p w14:paraId="59428798">
      <w:pPr>
        <w:spacing w:before="0" w:after="0"/>
        <w:jc w:val="center"/>
      </w:pPr>
      <w:r>
        <w:rPr>
          <w:rFonts w:ascii="Arial" w:hAnsi="Arial" w:eastAsia="Arial" w:cs="Arial"/>
          <w:b/>
          <w:bCs/>
          <w:color w:val="0D7C8F"/>
          <w:sz w:val="48"/>
          <w:szCs w:val="48"/>
        </w:rPr>
        <w:t>Immediately Increase</w:t>
      </w:r>
    </w:p>
    <w:p w14:paraId="6A823D9A">
      <w:pPr>
        <w:spacing w:before="0" w:after="40"/>
        <w:jc w:val="center"/>
      </w:pPr>
      <w:r>
        <w:rPr>
          <w:rFonts w:ascii="Arial" w:hAnsi="Arial" w:eastAsia="Arial" w:cs="Arial"/>
          <w:b/>
          <w:bCs/>
          <w:color w:val="C8972A"/>
          <w:sz w:val="48"/>
          <w:szCs w:val="48"/>
        </w:rPr>
        <w:t>Learner Participation</w:t>
      </w:r>
    </w:p>
    <w:p w14:paraId="14A19BE4">
      <w:pPr>
        <w:pBdr>
          <w:bottom w:val="single" w:color="C8972A" w:sz="6" w:space="0"/>
        </w:pBdr>
        <w:spacing w:before="0" w:after="40"/>
      </w:pPr>
    </w:p>
    <w:p w14:paraId="707D510A">
      <w:pPr>
        <w:spacing w:before="0" w:after="80"/>
        <w:jc w:val="center"/>
      </w:pPr>
      <w:r>
        <w:rPr>
          <w:rFonts w:ascii="Arial" w:hAnsi="Arial" w:eastAsia="Arial" w:cs="Arial"/>
          <w:b/>
          <w:bCs/>
          <w:i/>
          <w:iCs/>
          <w:color w:val="4A4A4A"/>
          <w:sz w:val="24"/>
          <w:szCs w:val="24"/>
        </w:rPr>
        <w:t>Without Changing Your Lesson Plan</w:t>
      </w: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6D2B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D7C8F" w:sz="4" w:space="0"/>
              <w:left w:val="single" w:color="0D7C8F" w:sz="4" w:space="0"/>
              <w:bottom w:val="single" w:color="0D7C8F" w:sz="4" w:space="0"/>
              <w:right w:val="single" w:color="0D7C8F" w:sz="4" w:space="0"/>
            </w:tcBorders>
            <w:shd w:val="clear" w:color="auto" w:fill="EAF4F7"/>
            <w:tcMar>
              <w:top w:w="120" w:type="dxa"/>
              <w:left w:w="200" w:type="dxa"/>
              <w:bottom w:w="120" w:type="dxa"/>
              <w:right w:w="200" w:type="dxa"/>
            </w:tcMar>
          </w:tcPr>
          <w:p w14:paraId="4B768BDA">
            <w:r>
              <w:rPr>
                <w:rFonts w:ascii="Arial" w:hAnsi="Arial" w:eastAsia="Arial" w:cs="Arial"/>
                <w:color w:val="4A4A4A"/>
                <w:sz w:val="22"/>
                <w:szCs w:val="22"/>
              </w:rPr>
              <w:t>You do not need a new curriculum, a new scheme of work, or a new classroom to have more engaged learners. You need three shifts in HOW you teach — shifts that take under 60 seconds to implement, work in any subject, at any year level, and can begin in your very next lesson. These are not theories. They are strategies field-tested in classrooms across Kenya and backed by decades of educational research. Use them once and you will never go back.</w:t>
            </w:r>
          </w:p>
        </w:tc>
      </w:tr>
    </w:tbl>
    <w:p w14:paraId="2B58E595">
      <w:pPr>
        <w:spacing w:before="80" w:after="6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8875"/>
      </w:tblGrid>
      <w:tr w14:paraId="183C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D7C8F" w:sz="4" w:space="0"/>
              <w:left w:val="single" w:color="0D7C8F" w:sz="4" w:space="0"/>
              <w:bottom w:val="single" w:color="0D7C8F" w:sz="4" w:space="0"/>
              <w:right w:val="single" w:color="0D7C8F" w:sz="4" w:space="0"/>
            </w:tcBorders>
            <w:shd w:val="clear" w:color="auto" w:fill="0D7C8F"/>
            <w:tcMar>
              <w:top w:w="100" w:type="dxa"/>
              <w:left w:w="120" w:type="dxa"/>
              <w:bottom w:w="100" w:type="dxa"/>
              <w:right w:w="120" w:type="dxa"/>
            </w:tcMar>
            <w:vAlign w:val="center"/>
          </w:tcPr>
          <w:p w14:paraId="02B738E8">
            <w:pPr>
              <w:jc w:val="center"/>
            </w:pPr>
          </w:p>
          <w:p w14:paraId="62E28405">
            <w:pPr>
              <w:jc w:val="center"/>
            </w:pPr>
            <w:r>
              <w:rPr>
                <w:rFonts w:ascii="Arial" w:hAnsi="Arial" w:eastAsia="Arial" w:cs="Arial"/>
                <w:b/>
                <w:bCs/>
                <w:color w:val="FFFFFF"/>
                <w:sz w:val="22"/>
                <w:szCs w:val="22"/>
              </w:rPr>
              <w:t>01</w:t>
            </w:r>
          </w:p>
        </w:tc>
        <w:tc>
          <w:tcPr>
            <w:tcBorders>
              <w:top w:val="single" w:color="0D7C8F" w:sz="4" w:space="0"/>
              <w:left w:val="single" w:color="0D7C8F" w:sz="4" w:space="0"/>
              <w:bottom w:val="single" w:color="0D7C8F" w:sz="4" w:space="0"/>
              <w:right w:val="single" w:color="0D7C8F" w:sz="4" w:space="0"/>
            </w:tcBorders>
            <w:shd w:val="clear" w:color="auto" w:fill="1B3A6B"/>
            <w:tcMar>
              <w:top w:w="80" w:type="dxa"/>
              <w:left w:w="200" w:type="dxa"/>
              <w:bottom w:w="80" w:type="dxa"/>
              <w:right w:w="200" w:type="dxa"/>
            </w:tcMar>
            <w:vAlign w:val="center"/>
          </w:tcPr>
          <w:p w14:paraId="1A2A10F3">
            <w:pPr>
              <w:spacing w:after="30"/>
            </w:pPr>
            <w:r>
              <w:rPr>
                <w:rFonts w:ascii="Arial" w:hAnsi="Arial" w:eastAsia="Arial" w:cs="Arial"/>
                <w:b/>
                <w:bCs/>
                <w:color w:val="FFFFFF"/>
                <w:sz w:val="24"/>
                <w:szCs w:val="24"/>
              </w:rPr>
              <w:t>STRATEGY 1  —  THINK-PAIR-SHARE</w:t>
            </w:r>
          </w:p>
          <w:p w14:paraId="18F4C1C0">
            <w:r>
              <w:rPr>
                <w:rFonts w:ascii="Arial" w:hAnsi="Arial" w:eastAsia="Arial" w:cs="Arial"/>
                <w:i/>
                <w:iCs/>
                <w:color w:val="C8972A"/>
                <w:sz w:val="24"/>
                <w:szCs w:val="24"/>
              </w:rPr>
              <w:t>Turn every question into a conversation — and watch your quietest students find their voice.</w:t>
            </w:r>
          </w:p>
        </w:tc>
      </w:tr>
    </w:tbl>
    <w:p w14:paraId="7ADEA3E9">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501C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0D7C8F" w:sz="20" w:space="0"/>
              <w:bottom w:val="nil"/>
              <w:right w:val="nil"/>
            </w:tcBorders>
            <w:shd w:val="clear" w:color="auto" w:fill="FDFAF4"/>
            <w:tcMar>
              <w:top w:w="80" w:type="dxa"/>
              <w:left w:w="200" w:type="dxa"/>
              <w:bottom w:w="80" w:type="dxa"/>
              <w:right w:w="200" w:type="dxa"/>
            </w:tcMar>
          </w:tcPr>
          <w:p w14:paraId="700E9585">
            <w:pPr>
              <w:spacing w:after="40"/>
            </w:pPr>
            <w:r>
              <w:rPr>
                <w:rFonts w:ascii="Arial" w:hAnsi="Arial" w:eastAsia="Arial" w:cs="Arial"/>
                <w:b/>
                <w:bCs/>
                <w:color w:val="0D7C8F"/>
                <w:sz w:val="17"/>
                <w:szCs w:val="17"/>
              </w:rPr>
              <w:t xml:space="preserve">  WHAT IT IS</w:t>
            </w:r>
          </w:p>
          <w:p w14:paraId="37C6E4DC">
            <w:r>
              <w:rPr>
                <w:rFonts w:ascii="Arial" w:hAnsi="Arial" w:eastAsia="Arial" w:cs="Arial"/>
                <w:color w:val="4A4A4A"/>
                <w:sz w:val="22"/>
                <w:szCs w:val="22"/>
              </w:rPr>
              <w:t>Before taking any answers from the class, give every student 60 seconds of silent thinking time, then 90 seconds to discuss their answer with a partner, and THEN take responses from the group. Three steps. One simple shift. Transformational results.</w:t>
            </w:r>
          </w:p>
        </w:tc>
      </w:tr>
    </w:tbl>
    <w:p w14:paraId="728701B3">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5EB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5C3D91" w:sz="20" w:space="0"/>
              <w:bottom w:val="nil"/>
              <w:right w:val="nil"/>
            </w:tcBorders>
            <w:shd w:val="clear" w:color="auto" w:fill="F3EEFF"/>
            <w:tcMar>
              <w:top w:w="80" w:type="dxa"/>
              <w:left w:w="200" w:type="dxa"/>
              <w:bottom w:w="80" w:type="dxa"/>
              <w:right w:w="200" w:type="dxa"/>
            </w:tcMar>
          </w:tcPr>
          <w:p w14:paraId="10BB34C2">
            <w:pPr>
              <w:spacing w:after="40"/>
              <w:rPr>
                <w:b/>
                <w:bCs/>
              </w:rPr>
            </w:pPr>
            <w:r>
              <w:rPr>
                <w:rFonts w:ascii="Arial" w:hAnsi="Arial" w:eastAsia="Arial" w:cs="Arial"/>
                <w:b/>
                <w:bCs/>
                <w:color w:val="5C3D91"/>
                <w:sz w:val="17"/>
                <w:szCs w:val="17"/>
              </w:rPr>
              <w:t xml:space="preserve"> WHY IT WORKS</w:t>
            </w:r>
          </w:p>
          <w:p w14:paraId="2911325D">
            <w:r>
              <w:rPr>
                <w:rFonts w:ascii="Arial" w:hAnsi="Arial" w:eastAsia="Arial" w:cs="Arial"/>
                <w:b/>
                <w:bCs/>
                <w:color w:val="4A4A4A"/>
                <w:sz w:val="20"/>
                <w:szCs w:val="20"/>
              </w:rPr>
              <w:t>Research by Douglas Lyman (1981) and consistently confirmed in classroom studies since: Think-Pair-Share increases the number of students who participate in class discussion by up to 300%. Why? Because it removes the terror of being put on the spot. Every learner has already formed and tested their answer before the whole-class moment arrives. The shy student, the slow processor, the second-language learner — Think-Pair-Share gives them all a fighting chance.</w:t>
            </w:r>
          </w:p>
        </w:tc>
      </w:tr>
    </w:tbl>
    <w:p w14:paraId="558A2F76">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8F2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D7C8F" w:sz="4" w:space="0"/>
              <w:left w:val="single" w:color="0D7C8F" w:sz="4" w:space="0"/>
              <w:bottom w:val="single" w:color="0D7C8F" w:sz="4" w:space="0"/>
              <w:right w:val="single" w:color="0D7C8F" w:sz="4" w:space="0"/>
            </w:tcBorders>
            <w:shd w:val="clear" w:color="auto" w:fill="EAF4F7"/>
            <w:tcMar>
              <w:top w:w="120" w:type="dxa"/>
              <w:left w:w="160" w:type="dxa"/>
              <w:bottom w:w="120" w:type="dxa"/>
              <w:right w:w="160" w:type="dxa"/>
            </w:tcMar>
          </w:tcPr>
          <w:p w14:paraId="3A0A451C">
            <w:pPr>
              <w:spacing w:after="60"/>
              <w:rPr>
                <w:sz w:val="22"/>
                <w:szCs w:val="22"/>
              </w:rPr>
            </w:pPr>
            <w:r>
              <w:rPr>
                <w:rFonts w:ascii="Arial" w:hAnsi="Arial" w:eastAsia="Arial" w:cs="Arial"/>
                <w:b/>
                <w:bCs/>
                <w:color w:val="0D7C8F"/>
                <w:sz w:val="17"/>
                <w:szCs w:val="17"/>
              </w:rPr>
              <w:t xml:space="preserve"> </w:t>
            </w:r>
            <w:r>
              <w:rPr>
                <w:rFonts w:ascii="Arial" w:hAnsi="Arial" w:eastAsia="Arial" w:cs="Arial"/>
                <w:b/>
                <w:bCs/>
                <w:color w:val="0D7C8F"/>
                <w:sz w:val="22"/>
                <w:szCs w:val="22"/>
              </w:rPr>
              <w:t xml:space="preserve"> WHAT TO SAY TO YOUR STUDENTS</w:t>
            </w:r>
          </w:p>
          <w:tbl>
            <w:tblPr>
              <w:tblStyle w:val="9"/>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84"/>
              <w:gridCol w:w="8576"/>
            </w:tblGrid>
            <w:tr w14:paraId="68D0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03569616">
                  <w:pPr>
                    <w:jc w:val="center"/>
                    <w:rPr>
                      <w:sz w:val="22"/>
                      <w:szCs w:val="22"/>
                    </w:rPr>
                  </w:pPr>
                  <w:r>
                    <w:rPr>
                      <w:rFonts w:ascii="Arial" w:hAnsi="Arial" w:eastAsia="Arial" w:cs="Arial"/>
                      <w:b/>
                      <w:bCs/>
                      <w:color w:val="FFFFFF"/>
                      <w:sz w:val="22"/>
                      <w:szCs w:val="22"/>
                    </w:rPr>
                    <w:t>1.</w:t>
                  </w:r>
                </w:p>
              </w:tc>
              <w:tc>
                <w:tcPr>
                  <w:tcBorders>
                    <w:top w:val="nil"/>
                    <w:left w:val="nil"/>
                    <w:bottom w:val="nil"/>
                    <w:right w:val="nil"/>
                  </w:tcBorders>
                  <w:shd w:val="clear" w:color="auto" w:fill="EAF4F7"/>
                  <w:tcMar>
                    <w:top w:w="60" w:type="dxa"/>
                    <w:left w:w="160" w:type="dxa"/>
                    <w:bottom w:w="60" w:type="dxa"/>
                    <w:right w:w="100" w:type="dxa"/>
                  </w:tcMar>
                </w:tcPr>
                <w:p w14:paraId="3AE6FF38">
                  <w:pPr>
                    <w:rPr>
                      <w:sz w:val="22"/>
                      <w:szCs w:val="22"/>
                    </w:rPr>
                  </w:pPr>
                  <w:r>
                    <w:rPr>
                      <w:rFonts w:ascii="Arial" w:hAnsi="Arial" w:eastAsia="Arial" w:cs="Arial"/>
                      <w:i/>
                      <w:iCs/>
                      <w:color w:val="1B3A6B"/>
                      <w:sz w:val="22"/>
                      <w:szCs w:val="22"/>
                    </w:rPr>
                    <w:t>“Think quietly for 60 seconds. No talking yet. What is your answer to [question]? Write it, draw it, or just hold it in your head.”</w:t>
                  </w:r>
                </w:p>
              </w:tc>
            </w:tr>
            <w:tr w14:paraId="1963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3E2FAF7E">
                  <w:pPr>
                    <w:jc w:val="center"/>
                    <w:rPr>
                      <w:sz w:val="22"/>
                      <w:szCs w:val="22"/>
                    </w:rPr>
                  </w:pPr>
                  <w:r>
                    <w:rPr>
                      <w:rFonts w:ascii="Arial" w:hAnsi="Arial" w:eastAsia="Arial" w:cs="Arial"/>
                      <w:b/>
                      <w:bCs/>
                      <w:color w:val="FFFFFF"/>
                      <w:sz w:val="22"/>
                      <w:szCs w:val="22"/>
                    </w:rPr>
                    <w:t>2.</w:t>
                  </w:r>
                </w:p>
              </w:tc>
              <w:tc>
                <w:tcPr>
                  <w:tcBorders>
                    <w:top w:val="nil"/>
                    <w:left w:val="nil"/>
                    <w:bottom w:val="nil"/>
                    <w:right w:val="nil"/>
                  </w:tcBorders>
                  <w:shd w:val="clear" w:color="auto" w:fill="EAF4F7"/>
                  <w:tcMar>
                    <w:top w:w="60" w:type="dxa"/>
                    <w:left w:w="160" w:type="dxa"/>
                    <w:bottom w:w="60" w:type="dxa"/>
                    <w:right w:w="100" w:type="dxa"/>
                  </w:tcMar>
                </w:tcPr>
                <w:p w14:paraId="6F6A3F26">
                  <w:pPr>
                    <w:rPr>
                      <w:sz w:val="22"/>
                      <w:szCs w:val="22"/>
                    </w:rPr>
                  </w:pPr>
                  <w:r>
                    <w:rPr>
                      <w:rFonts w:ascii="Arial" w:hAnsi="Arial" w:eastAsia="Arial" w:cs="Arial"/>
                      <w:i/>
                      <w:iCs/>
                      <w:color w:val="1B3A6B"/>
                      <w:sz w:val="22"/>
                      <w:szCs w:val="22"/>
                    </w:rPr>
                    <w:t>“Now turn to your partner. Share your thinking. Listen to theirs. You have 90 seconds — both of you must speak.”</w:t>
                  </w:r>
                </w:p>
              </w:tc>
            </w:tr>
            <w:tr w14:paraId="71CC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6683ED1C">
                  <w:pPr>
                    <w:jc w:val="center"/>
                    <w:rPr>
                      <w:sz w:val="22"/>
                      <w:szCs w:val="22"/>
                    </w:rPr>
                  </w:pPr>
                  <w:r>
                    <w:rPr>
                      <w:rFonts w:ascii="Arial" w:hAnsi="Arial" w:eastAsia="Arial" w:cs="Arial"/>
                      <w:b/>
                      <w:bCs/>
                      <w:color w:val="FFFFFF"/>
                      <w:sz w:val="22"/>
                      <w:szCs w:val="22"/>
                    </w:rPr>
                    <w:t>3.</w:t>
                  </w:r>
                </w:p>
              </w:tc>
              <w:tc>
                <w:tcPr>
                  <w:tcBorders>
                    <w:top w:val="nil"/>
                    <w:left w:val="nil"/>
                    <w:bottom w:val="nil"/>
                    <w:right w:val="nil"/>
                  </w:tcBorders>
                  <w:shd w:val="clear" w:color="auto" w:fill="EAF4F7"/>
                  <w:tcMar>
                    <w:top w:w="60" w:type="dxa"/>
                    <w:left w:w="160" w:type="dxa"/>
                    <w:bottom w:w="60" w:type="dxa"/>
                    <w:right w:w="100" w:type="dxa"/>
                  </w:tcMar>
                </w:tcPr>
                <w:p w14:paraId="6EF82A66">
                  <w:pPr>
                    <w:rPr>
                      <w:sz w:val="22"/>
                      <w:szCs w:val="22"/>
                    </w:rPr>
                  </w:pPr>
                  <w:r>
                    <w:rPr>
                      <w:rFonts w:ascii="Arial" w:hAnsi="Arial" w:eastAsia="Arial" w:cs="Arial"/>
                      <w:i/>
                      <w:iCs/>
                      <w:color w:val="1B3A6B"/>
                      <w:sz w:val="22"/>
                      <w:szCs w:val="22"/>
                    </w:rPr>
                    <w:t>“Who would like to share what came out of your conversation? You can share your own thinking or your partner's.”</w:t>
                  </w:r>
                </w:p>
              </w:tc>
            </w:tr>
          </w:tbl>
          <w:p w14:paraId="13D4E5CE">
            <w:pPr>
              <w:spacing w:before="40" w:after="40"/>
            </w:pPr>
          </w:p>
          <w:p w14:paraId="0C9E2445">
            <w:r>
              <w:rPr>
                <w:rFonts w:ascii="Arial" w:hAnsi="Arial" w:eastAsia="Arial" w:cs="Arial"/>
                <w:b/>
                <w:bCs/>
                <w:color w:val="C8972A"/>
                <w:sz w:val="18"/>
                <w:szCs w:val="18"/>
              </w:rPr>
              <w:t xml:space="preserve"> </w:t>
            </w:r>
            <w:r>
              <w:rPr>
                <w:rFonts w:ascii="Arial" w:hAnsi="Arial" w:eastAsia="Arial" w:cs="Arial"/>
                <w:b/>
                <w:bCs/>
                <w:color w:val="C8972A"/>
                <w:sz w:val="22"/>
                <w:szCs w:val="22"/>
              </w:rPr>
              <w:t xml:space="preserve">TEACHER TIP: </w:t>
            </w:r>
            <w:r>
              <w:rPr>
                <w:rFonts w:ascii="Arial" w:hAnsi="Arial" w:eastAsia="Arial" w:cs="Arial"/>
                <w:color w:val="4A4A4A"/>
                <w:sz w:val="22"/>
                <w:szCs w:val="22"/>
              </w:rPr>
              <w:t>After asking a question, count silently to 5 before calling on anyone — even without the pair step. That 5-second wait time alone doubles the number of hands that go up.</w:t>
            </w:r>
          </w:p>
        </w:tc>
      </w:tr>
    </w:tbl>
    <w:p w14:paraId="3471503F">
      <w:pPr>
        <w:spacing w:before="40" w:after="40"/>
      </w:pPr>
    </w:p>
    <w:p w14:paraId="34215B82">
      <w:pPr>
        <w:pBdr>
          <w:bottom w:val="single" w:color="C8972A" w:sz="4" w:space="0"/>
        </w:pBdr>
        <w:spacing w:before="20" w:after="4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8875"/>
      </w:tblGrid>
      <w:tr w14:paraId="23F4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1A7A4A" w:sz="4" w:space="0"/>
              <w:left w:val="single" w:color="1A7A4A" w:sz="4" w:space="0"/>
              <w:bottom w:val="single" w:color="1A7A4A" w:sz="4" w:space="0"/>
              <w:right w:val="single" w:color="1A7A4A" w:sz="4" w:space="0"/>
            </w:tcBorders>
            <w:shd w:val="clear" w:color="auto" w:fill="1A7A4A"/>
            <w:tcMar>
              <w:top w:w="100" w:type="dxa"/>
              <w:left w:w="120" w:type="dxa"/>
              <w:bottom w:w="100" w:type="dxa"/>
              <w:right w:w="120" w:type="dxa"/>
            </w:tcMar>
            <w:vAlign w:val="center"/>
          </w:tcPr>
          <w:p w14:paraId="12D85E04">
            <w:pPr>
              <w:jc w:val="center"/>
            </w:pPr>
          </w:p>
          <w:p w14:paraId="5FEDC450">
            <w:pPr>
              <w:jc w:val="center"/>
            </w:pPr>
            <w:r>
              <w:rPr>
                <w:rFonts w:ascii="Arial" w:hAnsi="Arial" w:eastAsia="Arial" w:cs="Arial"/>
                <w:b/>
                <w:bCs/>
                <w:color w:val="FFFFFF"/>
                <w:sz w:val="22"/>
                <w:szCs w:val="22"/>
              </w:rPr>
              <w:t>02</w:t>
            </w:r>
          </w:p>
        </w:tc>
        <w:tc>
          <w:tcPr>
            <w:tcBorders>
              <w:top w:val="single" w:color="1A7A4A" w:sz="4" w:space="0"/>
              <w:left w:val="single" w:color="1A7A4A" w:sz="4" w:space="0"/>
              <w:bottom w:val="single" w:color="1A7A4A" w:sz="4" w:space="0"/>
              <w:right w:val="single" w:color="1A7A4A" w:sz="4" w:space="0"/>
            </w:tcBorders>
            <w:shd w:val="clear" w:color="auto" w:fill="1B3A6B"/>
            <w:tcMar>
              <w:top w:w="80" w:type="dxa"/>
              <w:left w:w="200" w:type="dxa"/>
              <w:bottom w:w="80" w:type="dxa"/>
              <w:right w:w="200" w:type="dxa"/>
            </w:tcMar>
            <w:vAlign w:val="center"/>
          </w:tcPr>
          <w:p w14:paraId="7CD02EED">
            <w:pPr>
              <w:spacing w:after="30"/>
            </w:pPr>
            <w:r>
              <w:rPr>
                <w:rFonts w:ascii="Arial" w:hAnsi="Arial" w:eastAsia="Arial" w:cs="Arial"/>
                <w:b/>
                <w:bCs/>
                <w:color w:val="FFFFFF"/>
                <w:sz w:val="24"/>
                <w:szCs w:val="24"/>
              </w:rPr>
              <w:t>STRATEGY 2  —  COLD CALLING WITH PREPARATION</w:t>
            </w:r>
          </w:p>
          <w:p w14:paraId="056A1BFD">
            <w:r>
              <w:rPr>
                <w:rFonts w:ascii="Arial" w:hAnsi="Arial" w:eastAsia="Arial" w:cs="Arial"/>
                <w:i/>
                <w:iCs/>
                <w:color w:val="C8972A"/>
                <w:sz w:val="22"/>
                <w:szCs w:val="22"/>
              </w:rPr>
              <w:t>Create a classroom where every student knows they might be called on — and every student is ready.</w:t>
            </w:r>
          </w:p>
        </w:tc>
      </w:tr>
    </w:tbl>
    <w:p w14:paraId="22CE54B3">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4DD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1A7A4A" w:sz="20" w:space="0"/>
              <w:bottom w:val="nil"/>
              <w:right w:val="nil"/>
            </w:tcBorders>
            <w:shd w:val="clear" w:color="auto" w:fill="FDFAF4"/>
            <w:tcMar>
              <w:top w:w="80" w:type="dxa"/>
              <w:left w:w="200" w:type="dxa"/>
              <w:bottom w:w="80" w:type="dxa"/>
              <w:right w:w="200" w:type="dxa"/>
            </w:tcMar>
          </w:tcPr>
          <w:p w14:paraId="1B72BB32">
            <w:pPr>
              <w:spacing w:after="40"/>
              <w:rPr>
                <w:b/>
                <w:bCs/>
                <w:sz w:val="22"/>
                <w:szCs w:val="22"/>
              </w:rPr>
            </w:pPr>
            <w:r>
              <w:rPr>
                <w:rFonts w:ascii="Arial" w:hAnsi="Arial" w:eastAsia="Arial" w:cs="Arial"/>
                <w:b/>
                <w:bCs/>
                <w:color w:val="1A7A4A"/>
                <w:sz w:val="22"/>
                <w:szCs w:val="22"/>
              </w:rPr>
              <w:t xml:space="preserve">  WHAT IT IS</w:t>
            </w:r>
          </w:p>
          <w:p w14:paraId="14C041A7">
            <w:r>
              <w:rPr>
                <w:rFonts w:ascii="Arial" w:hAnsi="Arial" w:eastAsia="Arial" w:cs="Arial"/>
                <w:b/>
                <w:bCs/>
                <w:color w:val="4A4A4A"/>
                <w:sz w:val="22"/>
                <w:szCs w:val="22"/>
              </w:rPr>
              <w:t>Instead of only calling on students who raise their hands (which means the same 4 students answer every question), you call on any student — BUT only after they have had Think Time or a partner discussion first. The critical rule: no student is ever called on without having had preparation time. This is not a got</w:t>
            </w:r>
            <w:r>
              <w:rPr>
                <w:rFonts w:hint="default" w:cs="Arial"/>
                <w:b/>
                <w:bCs/>
                <w:color w:val="4A4A4A"/>
                <w:sz w:val="22"/>
                <w:szCs w:val="22"/>
                <w:lang w:val="en-GB"/>
              </w:rPr>
              <w:t xml:space="preserve"> you</w:t>
            </w:r>
            <w:r>
              <w:rPr>
                <w:rFonts w:ascii="Arial" w:hAnsi="Arial" w:eastAsia="Arial" w:cs="Arial"/>
                <w:b/>
                <w:bCs/>
                <w:color w:val="4A4A4A"/>
                <w:sz w:val="22"/>
                <w:szCs w:val="22"/>
              </w:rPr>
              <w:t xml:space="preserve"> strategy. It is an equity strategy.</w:t>
            </w:r>
          </w:p>
        </w:tc>
      </w:tr>
    </w:tbl>
    <w:p w14:paraId="6CBE4EA2">
      <w:pPr>
        <w:spacing w:before="20" w:after="20"/>
        <w:rPr>
          <w:sz w:val="22"/>
          <w:szCs w:val="22"/>
        </w:rPr>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6609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5C3D91" w:sz="20" w:space="0"/>
              <w:bottom w:val="nil"/>
              <w:right w:val="nil"/>
            </w:tcBorders>
            <w:shd w:val="clear" w:color="auto" w:fill="F3EEFF"/>
            <w:tcMar>
              <w:top w:w="80" w:type="dxa"/>
              <w:left w:w="200" w:type="dxa"/>
              <w:bottom w:w="80" w:type="dxa"/>
              <w:right w:w="200" w:type="dxa"/>
            </w:tcMar>
          </w:tcPr>
          <w:p w14:paraId="34321F5D">
            <w:pPr>
              <w:spacing w:after="40"/>
              <w:rPr>
                <w:sz w:val="22"/>
                <w:szCs w:val="22"/>
              </w:rPr>
            </w:pPr>
            <w:r>
              <w:rPr>
                <w:rFonts w:ascii="Arial" w:hAnsi="Arial" w:eastAsia="Arial" w:cs="Arial"/>
                <w:b/>
                <w:bCs/>
                <w:color w:val="5C3D91"/>
                <w:sz w:val="22"/>
                <w:szCs w:val="22"/>
              </w:rPr>
              <w:t xml:space="preserve">  WHY IT WORKS</w:t>
            </w:r>
          </w:p>
          <w:p w14:paraId="5447F8AF">
            <w:pPr>
              <w:rPr>
                <w:sz w:val="22"/>
                <w:szCs w:val="22"/>
              </w:rPr>
            </w:pPr>
            <w:r>
              <w:rPr>
                <w:rFonts w:ascii="Arial" w:hAnsi="Arial" w:eastAsia="Arial" w:cs="Arial"/>
                <w:color w:val="4A4A4A"/>
                <w:sz w:val="22"/>
                <w:szCs w:val="22"/>
              </w:rPr>
              <w:t>The Pygmalion Effect (Rosenthal &amp; Jacobson, 1968) established that teacher expectations directly shape student performance. When you only call on volunteers, you unconsciously communicate to non-volunteers: “I don't expect you to know.” Cold Calling with Preparation sends the opposite message: “I expect ALL of you to be ready — because you are all capable.” Combine this with Think-Pair-Share and you have created a classroom where no learner can afford to be mentally absent.</w:t>
            </w:r>
          </w:p>
        </w:tc>
      </w:tr>
    </w:tbl>
    <w:p w14:paraId="6DB55E0E">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3E5E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D7C8F" w:sz="4" w:space="0"/>
              <w:left w:val="single" w:color="0D7C8F" w:sz="4" w:space="0"/>
              <w:bottom w:val="single" w:color="0D7C8F" w:sz="4" w:space="0"/>
              <w:right w:val="single" w:color="0D7C8F" w:sz="4" w:space="0"/>
            </w:tcBorders>
            <w:shd w:val="clear" w:color="auto" w:fill="EAF4F7"/>
            <w:tcMar>
              <w:top w:w="120" w:type="dxa"/>
              <w:left w:w="160" w:type="dxa"/>
              <w:bottom w:w="120" w:type="dxa"/>
              <w:right w:w="160" w:type="dxa"/>
            </w:tcMar>
          </w:tcPr>
          <w:p w14:paraId="457BB13F">
            <w:pPr>
              <w:spacing w:after="60"/>
            </w:pPr>
            <w:r>
              <w:rPr>
                <w:rFonts w:ascii="Arial" w:hAnsi="Arial" w:eastAsia="Arial" w:cs="Arial"/>
                <w:b/>
                <w:bCs/>
                <w:color w:val="0D7C8F"/>
                <w:sz w:val="21"/>
                <w:szCs w:val="21"/>
              </w:rPr>
              <w:t xml:space="preserve">  WHAT TO SAY TO YOUR STUDENTS</w:t>
            </w:r>
          </w:p>
          <w:tbl>
            <w:tblPr>
              <w:tblStyle w:val="9"/>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67"/>
              <w:gridCol w:w="8593"/>
            </w:tblGrid>
            <w:tr w14:paraId="7990D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2D608157">
                  <w:pPr>
                    <w:jc w:val="center"/>
                    <w:rPr>
                      <w:sz w:val="20"/>
                      <w:szCs w:val="20"/>
                    </w:rPr>
                  </w:pPr>
                  <w:r>
                    <w:rPr>
                      <w:rFonts w:ascii="Arial" w:hAnsi="Arial" w:eastAsia="Arial" w:cs="Arial"/>
                      <w:b/>
                      <w:bCs/>
                      <w:color w:val="FFFFFF"/>
                      <w:sz w:val="20"/>
                      <w:szCs w:val="20"/>
                    </w:rPr>
                    <w:t>1.</w:t>
                  </w:r>
                </w:p>
              </w:tc>
              <w:tc>
                <w:tcPr>
                  <w:tcBorders>
                    <w:top w:val="nil"/>
                    <w:left w:val="nil"/>
                    <w:bottom w:val="nil"/>
                    <w:right w:val="nil"/>
                  </w:tcBorders>
                  <w:shd w:val="clear" w:color="auto" w:fill="EAF4F7"/>
                  <w:tcMar>
                    <w:top w:w="60" w:type="dxa"/>
                    <w:left w:w="160" w:type="dxa"/>
                    <w:bottom w:w="60" w:type="dxa"/>
                    <w:right w:w="100" w:type="dxa"/>
                  </w:tcMar>
                </w:tcPr>
                <w:p w14:paraId="056A8186">
                  <w:pPr>
                    <w:rPr>
                      <w:sz w:val="20"/>
                      <w:szCs w:val="20"/>
                    </w:rPr>
                  </w:pPr>
                  <w:r>
                    <w:rPr>
                      <w:rFonts w:ascii="Arial" w:hAnsi="Arial" w:eastAsia="Arial" w:cs="Arial"/>
                      <w:i/>
                      <w:iCs/>
                      <w:color w:val="1B3A6B"/>
                      <w:sz w:val="20"/>
                      <w:szCs w:val="20"/>
                    </w:rPr>
                    <w:t>“In this classroom, I might call on anyone — not to catch you out, but because I believe you all have something valuable to contribute. I will always give you thinking time first.”</w:t>
                  </w:r>
                </w:p>
              </w:tc>
            </w:tr>
            <w:tr w14:paraId="70CE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3CC52BE7">
                  <w:pPr>
                    <w:jc w:val="center"/>
                    <w:rPr>
                      <w:sz w:val="20"/>
                      <w:szCs w:val="20"/>
                    </w:rPr>
                  </w:pPr>
                  <w:r>
                    <w:rPr>
                      <w:rFonts w:ascii="Arial" w:hAnsi="Arial" w:eastAsia="Arial" w:cs="Arial"/>
                      <w:b/>
                      <w:bCs/>
                      <w:color w:val="FFFFFF"/>
                      <w:sz w:val="20"/>
                      <w:szCs w:val="20"/>
                    </w:rPr>
                    <w:t>2.</w:t>
                  </w:r>
                </w:p>
              </w:tc>
              <w:tc>
                <w:tcPr>
                  <w:tcBorders>
                    <w:top w:val="nil"/>
                    <w:left w:val="nil"/>
                    <w:bottom w:val="nil"/>
                    <w:right w:val="nil"/>
                  </w:tcBorders>
                  <w:shd w:val="clear" w:color="auto" w:fill="EAF4F7"/>
                  <w:tcMar>
                    <w:top w:w="60" w:type="dxa"/>
                    <w:left w:w="160" w:type="dxa"/>
                    <w:bottom w:w="60" w:type="dxa"/>
                    <w:right w:w="100" w:type="dxa"/>
                  </w:tcMar>
                </w:tcPr>
                <w:p w14:paraId="79B5CAA6">
                  <w:pPr>
                    <w:rPr>
                      <w:sz w:val="20"/>
                      <w:szCs w:val="20"/>
                    </w:rPr>
                  </w:pPr>
                  <w:r>
                    <w:rPr>
                      <w:rFonts w:ascii="Arial" w:hAnsi="Arial" w:eastAsia="Arial" w:cs="Arial"/>
                      <w:i/>
                      <w:iCs/>
                      <w:color w:val="1B3A6B"/>
                      <w:sz w:val="20"/>
                      <w:szCs w:val="20"/>
                    </w:rPr>
                    <w:t>“[After Think-Pair-Share]: Amina — what did you and your partner come up with? [Use student names. Rotate deliberately. Track who you have called on.] ”</w:t>
                  </w:r>
                </w:p>
              </w:tc>
            </w:tr>
            <w:tr w14:paraId="530B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623F1A5D">
                  <w:pPr>
                    <w:jc w:val="center"/>
                    <w:rPr>
                      <w:sz w:val="20"/>
                      <w:szCs w:val="20"/>
                    </w:rPr>
                  </w:pPr>
                  <w:r>
                    <w:rPr>
                      <w:rFonts w:ascii="Arial" w:hAnsi="Arial" w:eastAsia="Arial" w:cs="Arial"/>
                      <w:b/>
                      <w:bCs/>
                      <w:color w:val="FFFFFF"/>
                      <w:sz w:val="20"/>
                      <w:szCs w:val="20"/>
                    </w:rPr>
                    <w:t>3.</w:t>
                  </w:r>
                </w:p>
              </w:tc>
              <w:tc>
                <w:tcPr>
                  <w:tcBorders>
                    <w:top w:val="nil"/>
                    <w:left w:val="nil"/>
                    <w:bottom w:val="nil"/>
                    <w:right w:val="nil"/>
                  </w:tcBorders>
                  <w:shd w:val="clear" w:color="auto" w:fill="EAF4F7"/>
                  <w:tcMar>
                    <w:top w:w="60" w:type="dxa"/>
                    <w:left w:w="160" w:type="dxa"/>
                    <w:bottom w:w="60" w:type="dxa"/>
                    <w:right w:w="100" w:type="dxa"/>
                  </w:tcMar>
                </w:tcPr>
                <w:p w14:paraId="284E0966">
                  <w:pPr>
                    <w:rPr>
                      <w:sz w:val="20"/>
                      <w:szCs w:val="20"/>
                    </w:rPr>
                  </w:pPr>
                  <w:r>
                    <w:rPr>
                      <w:rFonts w:ascii="Arial" w:hAnsi="Arial" w:eastAsia="Arial" w:cs="Arial"/>
                      <w:i/>
                      <w:iCs/>
                      <w:color w:val="1B3A6B"/>
                      <w:sz w:val="20"/>
                      <w:szCs w:val="20"/>
                    </w:rPr>
                    <w:t>“That's interesting thinking, Amina — Kevin, what would you add to what she just said? [Build a chain of participation rather than isolated answers.]”</w:t>
                  </w:r>
                </w:p>
              </w:tc>
            </w:tr>
          </w:tbl>
          <w:p w14:paraId="0B2176A0">
            <w:pPr>
              <w:spacing w:before="40" w:after="40"/>
              <w:rPr>
                <w:sz w:val="20"/>
                <w:szCs w:val="20"/>
              </w:rPr>
            </w:pPr>
          </w:p>
          <w:p w14:paraId="50369A57">
            <w:r>
              <w:rPr>
                <w:rFonts w:ascii="Arial" w:hAnsi="Arial" w:eastAsia="Arial" w:cs="Arial"/>
                <w:b/>
                <w:bCs/>
                <w:color w:val="C8972A"/>
                <w:sz w:val="20"/>
                <w:szCs w:val="20"/>
              </w:rPr>
              <w:t xml:space="preserve"> </w:t>
            </w:r>
            <w:r>
              <w:rPr>
                <w:rFonts w:ascii="Arial" w:hAnsi="Arial" w:eastAsia="Arial" w:cs="Arial"/>
                <w:b/>
                <w:bCs/>
                <w:color w:val="C8972A"/>
                <w:sz w:val="22"/>
                <w:szCs w:val="22"/>
              </w:rPr>
              <w:t xml:space="preserve">TEACHER TIP: </w:t>
            </w:r>
            <w:r>
              <w:rPr>
                <w:rFonts w:ascii="Arial" w:hAnsi="Arial" w:eastAsia="Arial" w:cs="Arial"/>
                <w:color w:val="4A4A4A"/>
                <w:sz w:val="22"/>
                <w:szCs w:val="22"/>
              </w:rPr>
              <w:t>Keep a simple class list on your desk. Put a tick next to each name when you call on them. Your goal: every student called on at least once per lesson. This one habit, done daily, transforms classroom participation within two weeks.</w:t>
            </w:r>
          </w:p>
        </w:tc>
      </w:tr>
    </w:tbl>
    <w:p w14:paraId="22964166">
      <w:pPr>
        <w:spacing w:before="40" w:after="40"/>
      </w:pPr>
    </w:p>
    <w:p w14:paraId="7BB266BD">
      <w:pPr>
        <w:pBdr>
          <w:bottom w:val="single" w:color="C8972A" w:sz="4" w:space="0"/>
        </w:pBdr>
        <w:spacing w:before="20" w:after="4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85"/>
        <w:gridCol w:w="8875"/>
      </w:tblGrid>
      <w:tr w14:paraId="1A67E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C0392B" w:sz="4" w:space="0"/>
              <w:left w:val="single" w:color="C0392B" w:sz="4" w:space="0"/>
              <w:bottom w:val="single" w:color="C0392B" w:sz="4" w:space="0"/>
              <w:right w:val="single" w:color="C0392B" w:sz="4" w:space="0"/>
            </w:tcBorders>
            <w:shd w:val="clear" w:color="auto" w:fill="C0392B"/>
            <w:tcMar>
              <w:top w:w="100" w:type="dxa"/>
              <w:left w:w="120" w:type="dxa"/>
              <w:bottom w:w="100" w:type="dxa"/>
              <w:right w:w="120" w:type="dxa"/>
            </w:tcMar>
            <w:vAlign w:val="center"/>
          </w:tcPr>
          <w:p w14:paraId="713F6060">
            <w:pPr>
              <w:jc w:val="center"/>
            </w:pPr>
          </w:p>
          <w:p w14:paraId="6F024985">
            <w:pPr>
              <w:jc w:val="center"/>
            </w:pPr>
            <w:r>
              <w:rPr>
                <w:rFonts w:ascii="Arial" w:hAnsi="Arial" w:eastAsia="Arial" w:cs="Arial"/>
                <w:b/>
                <w:bCs/>
                <w:color w:val="FFFFFF"/>
                <w:sz w:val="22"/>
                <w:szCs w:val="22"/>
              </w:rPr>
              <w:t>03</w:t>
            </w:r>
          </w:p>
        </w:tc>
        <w:tc>
          <w:tcPr>
            <w:tcBorders>
              <w:top w:val="single" w:color="C0392B" w:sz="4" w:space="0"/>
              <w:left w:val="single" w:color="C0392B" w:sz="4" w:space="0"/>
              <w:bottom w:val="single" w:color="C0392B" w:sz="4" w:space="0"/>
              <w:right w:val="single" w:color="C0392B" w:sz="4" w:space="0"/>
            </w:tcBorders>
            <w:shd w:val="clear" w:color="auto" w:fill="1B3A6B"/>
            <w:tcMar>
              <w:top w:w="80" w:type="dxa"/>
              <w:left w:w="200" w:type="dxa"/>
              <w:bottom w:w="80" w:type="dxa"/>
              <w:right w:w="200" w:type="dxa"/>
            </w:tcMar>
            <w:vAlign w:val="center"/>
          </w:tcPr>
          <w:p w14:paraId="7FA2FE88">
            <w:pPr>
              <w:spacing w:after="30"/>
              <w:rPr>
                <w:sz w:val="24"/>
                <w:szCs w:val="24"/>
              </w:rPr>
            </w:pPr>
            <w:r>
              <w:rPr>
                <w:rFonts w:ascii="Arial" w:hAnsi="Arial" w:eastAsia="Arial" w:cs="Arial"/>
                <w:b/>
                <w:bCs/>
                <w:color w:val="FFFFFF"/>
                <w:sz w:val="24"/>
                <w:szCs w:val="24"/>
              </w:rPr>
              <w:t>STRATEGY 3  —  THE WRONG ANSWER CELEBRATION</w:t>
            </w:r>
          </w:p>
          <w:p w14:paraId="7EDC8C5D">
            <w:r>
              <w:rPr>
                <w:rFonts w:ascii="Arial" w:hAnsi="Arial" w:eastAsia="Arial" w:cs="Arial"/>
                <w:i/>
                <w:iCs/>
                <w:color w:val="C8972A"/>
                <w:sz w:val="21"/>
                <w:szCs w:val="21"/>
              </w:rPr>
              <w:t>The moment you change how you respond to wrong answers, you change the entire emotional climate of your classroom.</w:t>
            </w:r>
          </w:p>
        </w:tc>
      </w:tr>
    </w:tbl>
    <w:p w14:paraId="3DE6642E">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76C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C0392B" w:sz="20" w:space="0"/>
              <w:bottom w:val="nil"/>
              <w:right w:val="nil"/>
            </w:tcBorders>
            <w:shd w:val="clear" w:color="auto" w:fill="FDFAF4"/>
            <w:tcMar>
              <w:top w:w="80" w:type="dxa"/>
              <w:left w:w="200" w:type="dxa"/>
              <w:bottom w:w="80" w:type="dxa"/>
              <w:right w:w="200" w:type="dxa"/>
            </w:tcMar>
          </w:tcPr>
          <w:p w14:paraId="340302CA">
            <w:pPr>
              <w:spacing w:after="40"/>
            </w:pPr>
            <w:r>
              <w:rPr>
                <w:rFonts w:ascii="Arial" w:hAnsi="Arial" w:eastAsia="Arial" w:cs="Arial"/>
                <w:b/>
                <w:bCs/>
                <w:color w:val="C0392B"/>
                <w:sz w:val="17"/>
                <w:szCs w:val="17"/>
              </w:rPr>
              <w:t xml:space="preserve"> </w:t>
            </w:r>
            <w:r>
              <w:rPr>
                <w:rFonts w:ascii="Arial" w:hAnsi="Arial" w:eastAsia="Arial" w:cs="Arial"/>
                <w:b/>
                <w:bCs/>
                <w:color w:val="C0392B"/>
                <w:sz w:val="22"/>
                <w:szCs w:val="22"/>
              </w:rPr>
              <w:t xml:space="preserve"> WHAT IT IS</w:t>
            </w:r>
          </w:p>
          <w:p w14:paraId="1086D4A7">
            <w:r>
              <w:rPr>
                <w:rFonts w:ascii="Arial" w:hAnsi="Arial" w:eastAsia="Arial" w:cs="Arial"/>
                <w:color w:val="4A4A4A"/>
                <w:sz w:val="22"/>
                <w:szCs w:val="22"/>
              </w:rPr>
              <w:t>When a student gives a wrong answer, instead of moving on quickly, saying “not quite”, or correcting them flatly — you pause, you name the bravery of the attempt, and you publicly explore why the thinking was interesting before redirecting to the correct answer. The wrong answer becomes a teaching moment that the whole class remembers.</w:t>
            </w:r>
          </w:p>
        </w:tc>
      </w:tr>
    </w:tbl>
    <w:p w14:paraId="49146E53">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9537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single" w:color="5C3D91" w:sz="20" w:space="0"/>
              <w:bottom w:val="nil"/>
              <w:right w:val="nil"/>
            </w:tcBorders>
            <w:shd w:val="clear" w:color="auto" w:fill="F3EEFF"/>
            <w:tcMar>
              <w:top w:w="80" w:type="dxa"/>
              <w:left w:w="200" w:type="dxa"/>
              <w:bottom w:w="80" w:type="dxa"/>
              <w:right w:w="200" w:type="dxa"/>
            </w:tcMar>
          </w:tcPr>
          <w:p w14:paraId="3C3A4D2F">
            <w:pPr>
              <w:spacing w:after="40"/>
            </w:pPr>
            <w:r>
              <w:rPr>
                <w:rFonts w:ascii="Arial" w:hAnsi="Arial" w:eastAsia="Arial" w:cs="Arial"/>
                <w:b/>
                <w:bCs/>
                <w:color w:val="5C3D91"/>
                <w:sz w:val="24"/>
                <w:szCs w:val="24"/>
              </w:rPr>
              <w:t>WHY IT WORKS</w:t>
            </w:r>
          </w:p>
          <w:p w14:paraId="76AD8BED">
            <w:r>
              <w:rPr>
                <w:rFonts w:ascii="Arial" w:hAnsi="Arial" w:eastAsia="Arial" w:cs="Arial"/>
                <w:b/>
                <w:bCs/>
                <w:color w:val="4A4A4A"/>
                <w:sz w:val="21"/>
                <w:szCs w:val="21"/>
              </w:rPr>
              <w:t>Carol Dweck's landmark Growth Mindset research (Stanford, 1998–2023) demonstrates that students who fear being wrong stop participating. Classrooms where wrong answers are publicly corrected without affirmation produce learners who disengage, guess randomly, or stay silent. Conversely, classrooms where brave wrong answers are honoured create what researchers call “psychological safety” — the neurological condition where the brain is most open to learning. The moment a student hears you celebrate a wrong answer, every other student in the room becomes fractionally less afraid to try.</w:t>
            </w:r>
          </w:p>
        </w:tc>
      </w:tr>
    </w:tbl>
    <w:p w14:paraId="310B7A20">
      <w:pPr>
        <w:spacing w:before="20" w:after="20"/>
      </w:pPr>
    </w:p>
    <w:tbl>
      <w:tblPr>
        <w:tblStyle w:val="9"/>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360"/>
      </w:tblGrid>
      <w:tr w14:paraId="785C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single" w:color="0D7C8F" w:sz="4" w:space="0"/>
              <w:left w:val="single" w:color="0D7C8F" w:sz="4" w:space="0"/>
              <w:bottom w:val="single" w:color="0D7C8F" w:sz="4" w:space="0"/>
              <w:right w:val="single" w:color="0D7C8F" w:sz="4" w:space="0"/>
            </w:tcBorders>
            <w:shd w:val="clear" w:color="auto" w:fill="EAF4F7"/>
            <w:tcMar>
              <w:top w:w="120" w:type="dxa"/>
              <w:left w:w="160" w:type="dxa"/>
              <w:bottom w:w="120" w:type="dxa"/>
              <w:right w:w="160" w:type="dxa"/>
            </w:tcMar>
          </w:tcPr>
          <w:p w14:paraId="3DEE92AD">
            <w:pPr>
              <w:spacing w:after="60"/>
            </w:pPr>
            <w:r>
              <w:rPr>
                <w:rFonts w:ascii="Arial" w:hAnsi="Arial" w:eastAsia="Arial" w:cs="Arial"/>
                <w:b/>
                <w:bCs/>
                <w:color w:val="0D7C8F"/>
                <w:sz w:val="22"/>
                <w:szCs w:val="22"/>
              </w:rPr>
              <w:t xml:space="preserve"> WHAT TO SAY TO YOUR STUDENTS</w:t>
            </w:r>
          </w:p>
          <w:tbl>
            <w:tblPr>
              <w:tblStyle w:val="9"/>
              <w:tblW w:w="8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9"/>
              <w:gridCol w:w="8601"/>
            </w:tblGrid>
            <w:tr w14:paraId="534D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0631785D">
                  <w:pPr>
                    <w:jc w:val="center"/>
                  </w:pPr>
                  <w:r>
                    <w:rPr>
                      <w:rFonts w:ascii="Arial" w:hAnsi="Arial" w:eastAsia="Arial" w:cs="Arial"/>
                      <w:b/>
                      <w:bCs/>
                      <w:color w:val="FFFFFF"/>
                      <w:sz w:val="19"/>
                      <w:szCs w:val="19"/>
                    </w:rPr>
                    <w:t>1.</w:t>
                  </w:r>
                </w:p>
              </w:tc>
              <w:tc>
                <w:tcPr>
                  <w:tcBorders>
                    <w:top w:val="nil"/>
                    <w:left w:val="nil"/>
                    <w:bottom w:val="nil"/>
                    <w:right w:val="nil"/>
                  </w:tcBorders>
                  <w:shd w:val="clear" w:color="auto" w:fill="EAF4F7"/>
                  <w:tcMar>
                    <w:top w:w="60" w:type="dxa"/>
                    <w:left w:w="160" w:type="dxa"/>
                    <w:bottom w:w="60" w:type="dxa"/>
                    <w:right w:w="100" w:type="dxa"/>
                  </w:tcMar>
                </w:tcPr>
                <w:p w14:paraId="257618D1">
                  <w:pPr>
                    <w:rPr>
                      <w:sz w:val="22"/>
                      <w:szCs w:val="22"/>
                    </w:rPr>
                  </w:pPr>
                  <w:r>
                    <w:rPr>
                      <w:rFonts w:ascii="Arial" w:hAnsi="Arial" w:eastAsia="Arial" w:cs="Arial"/>
                      <w:i/>
                      <w:iCs/>
                      <w:color w:val="1B3A6B"/>
                      <w:sz w:val="22"/>
                      <w:szCs w:val="22"/>
                    </w:rPr>
                    <w:t>“Stop — before I give the answer, I want to notice something. [Name] just took an intellectual risk in front of all of us. That takes courage. Let's look at the thinking together.”</w:t>
                  </w:r>
                </w:p>
              </w:tc>
            </w:tr>
            <w:tr w14:paraId="3E10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000335EF">
                  <w:pPr>
                    <w:jc w:val="center"/>
                  </w:pPr>
                  <w:r>
                    <w:rPr>
                      <w:rFonts w:ascii="Arial" w:hAnsi="Arial" w:eastAsia="Arial" w:cs="Arial"/>
                      <w:b/>
                      <w:bCs/>
                      <w:color w:val="FFFFFF"/>
                      <w:sz w:val="19"/>
                      <w:szCs w:val="19"/>
                    </w:rPr>
                    <w:t>2.</w:t>
                  </w:r>
                </w:p>
              </w:tc>
              <w:tc>
                <w:tcPr>
                  <w:tcBorders>
                    <w:top w:val="nil"/>
                    <w:left w:val="nil"/>
                    <w:bottom w:val="nil"/>
                    <w:right w:val="nil"/>
                  </w:tcBorders>
                  <w:shd w:val="clear" w:color="auto" w:fill="EAF4F7"/>
                  <w:tcMar>
                    <w:top w:w="60" w:type="dxa"/>
                    <w:left w:w="160" w:type="dxa"/>
                    <w:bottom w:w="60" w:type="dxa"/>
                    <w:right w:w="100" w:type="dxa"/>
                  </w:tcMar>
                </w:tcPr>
                <w:p w14:paraId="334D8525">
                  <w:pPr>
                    <w:rPr>
                      <w:sz w:val="22"/>
                      <w:szCs w:val="22"/>
                    </w:rPr>
                  </w:pPr>
                  <w:r>
                    <w:rPr>
                      <w:rFonts w:ascii="Arial" w:hAnsi="Arial" w:eastAsia="Arial" w:cs="Arial"/>
                      <w:i/>
                      <w:iCs/>
                      <w:color w:val="1B3A6B"/>
                      <w:sz w:val="22"/>
                      <w:szCs w:val="22"/>
                    </w:rPr>
                    <w:t>“That answer is not quite where we need to land, but the reasoning is actually really interesting — can you tell me what made you think that? [Pause and listen genuinely.]”</w:t>
                  </w:r>
                </w:p>
              </w:tc>
            </w:tr>
            <w:tr w14:paraId="7E8E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nil"/>
                  </w:tcBorders>
                  <w:shd w:val="clear" w:color="auto" w:fill="0D7C8F"/>
                  <w:tcMar>
                    <w:top w:w="60" w:type="dxa"/>
                    <w:left w:w="100" w:type="dxa"/>
                    <w:bottom w:w="60" w:type="dxa"/>
                    <w:right w:w="100" w:type="dxa"/>
                  </w:tcMar>
                  <w:vAlign w:val="center"/>
                </w:tcPr>
                <w:p w14:paraId="3831CCBB">
                  <w:pPr>
                    <w:jc w:val="center"/>
                  </w:pPr>
                  <w:r>
                    <w:rPr>
                      <w:rFonts w:ascii="Arial" w:hAnsi="Arial" w:eastAsia="Arial" w:cs="Arial"/>
                      <w:b/>
                      <w:bCs/>
                      <w:color w:val="FFFFFF"/>
                      <w:sz w:val="19"/>
                      <w:szCs w:val="19"/>
                    </w:rPr>
                    <w:t>3.</w:t>
                  </w:r>
                </w:p>
              </w:tc>
              <w:tc>
                <w:tcPr>
                  <w:tcBorders>
                    <w:top w:val="nil"/>
                    <w:left w:val="nil"/>
                    <w:bottom w:val="nil"/>
                    <w:right w:val="nil"/>
                  </w:tcBorders>
                  <w:shd w:val="clear" w:color="auto" w:fill="EAF4F7"/>
                  <w:tcMar>
                    <w:top w:w="60" w:type="dxa"/>
                    <w:left w:w="160" w:type="dxa"/>
                    <w:bottom w:w="60" w:type="dxa"/>
                    <w:right w:w="100" w:type="dxa"/>
                  </w:tcMar>
                </w:tcPr>
                <w:p w14:paraId="715FFBF8">
                  <w:pPr>
                    <w:rPr>
                      <w:sz w:val="22"/>
                      <w:szCs w:val="22"/>
                    </w:rPr>
                  </w:pPr>
                  <w:r>
                    <w:rPr>
                      <w:rFonts w:ascii="Arial" w:hAnsi="Arial" w:eastAsia="Arial" w:cs="Arial"/>
                      <w:i/>
                      <w:iCs/>
                      <w:color w:val="1B3A6B"/>
                      <w:sz w:val="22"/>
                      <w:szCs w:val="22"/>
                    </w:rPr>
                    <w:t>“Interesting. That's the answer a lot of people would give — and here's why it's tempting... [Explain the misconception]. Now let's find where it leads us astray.”</w:t>
                  </w:r>
                </w:p>
              </w:tc>
            </w:tr>
          </w:tbl>
          <w:p w14:paraId="2554AA7D">
            <w:pPr>
              <w:spacing w:before="40" w:after="40"/>
            </w:pPr>
          </w:p>
          <w:p w14:paraId="3558D60D">
            <w:r>
              <w:rPr>
                <w:rFonts w:ascii="Arial" w:hAnsi="Arial" w:eastAsia="Arial" w:cs="Arial"/>
                <w:b/>
                <w:bCs/>
                <w:color w:val="C8972A"/>
                <w:sz w:val="18"/>
                <w:szCs w:val="18"/>
              </w:rPr>
              <w:t xml:space="preserve"> </w:t>
            </w:r>
            <w:r>
              <w:rPr>
                <w:rFonts w:ascii="Arial" w:hAnsi="Arial" w:eastAsia="Arial" w:cs="Arial"/>
                <w:b/>
                <w:bCs/>
                <w:color w:val="C8972A"/>
                <w:sz w:val="21"/>
                <w:szCs w:val="21"/>
              </w:rPr>
              <w:t xml:space="preserve">TEACHER TIP: </w:t>
            </w:r>
            <w:r>
              <w:rPr>
                <w:rFonts w:ascii="Arial" w:hAnsi="Arial" w:eastAsia="Arial" w:cs="Arial"/>
                <w:color w:val="4A4A4A"/>
                <w:sz w:val="21"/>
                <w:szCs w:val="21"/>
              </w:rPr>
              <w:t>Never say "wrong" without saying something else first. The sequence is: affirm the attempt → explore the thinking → redirect to the correct answer. This takes 45 extra seconds. The impact lasts the entire term.</w:t>
            </w:r>
          </w:p>
        </w:tc>
      </w:tr>
    </w:tbl>
    <w:p w14:paraId="573E3A7B">
      <w:pPr>
        <w:spacing w:before="40" w:after="40"/>
      </w:pPr>
    </w:p>
    <w:p w14:paraId="6DDCCB95">
      <w:pPr>
        <w:spacing w:before="60" w:after="40"/>
      </w:pPr>
    </w:p>
    <w:tbl>
      <w:tblPr>
        <w:tblStyle w:val="9"/>
        <w:tblW w:w="9680"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9680"/>
      </w:tblGrid>
      <w:tr w14:paraId="2632B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21" w:hRule="atLeast"/>
        </w:trPr>
        <w:tc>
          <w:tcPr>
            <w:tcW w:w="9680" w:type="dxa"/>
            <w:tcBorders>
              <w:top w:val="single" w:color="C8972A" w:sz="4" w:space="0"/>
              <w:left w:val="single" w:color="C8972A" w:sz="4" w:space="0"/>
              <w:bottom w:val="single" w:color="C8972A" w:sz="4" w:space="0"/>
              <w:right w:val="single" w:color="C8972A" w:sz="4" w:space="0"/>
            </w:tcBorders>
            <w:shd w:val="clear" w:color="auto" w:fill="1B3A6B"/>
            <w:tcMar>
              <w:top w:w="0" w:type="dxa"/>
              <w:left w:w="0" w:type="dxa"/>
              <w:bottom w:w="0" w:type="dxa"/>
              <w:right w:w="0" w:type="dxa"/>
            </w:tcMar>
          </w:tcPr>
          <w:p w14:paraId="113275D0">
            <w:pPr>
              <w:spacing w:before="40" w:after="80"/>
              <w:jc w:val="center"/>
              <w:rPr>
                <w:sz w:val="24"/>
                <w:szCs w:val="24"/>
              </w:rPr>
            </w:pPr>
            <w:r>
              <w:rPr>
                <w:rFonts w:ascii="Arial" w:hAnsi="Arial" w:eastAsia="Arial" w:cs="Arial"/>
                <w:b/>
                <w:bCs/>
                <w:color w:val="C8972A"/>
                <w:sz w:val="24"/>
                <w:szCs w:val="24"/>
              </w:rPr>
              <w:t>WANT TO GO DEEPER?</w:t>
            </w:r>
          </w:p>
          <w:p w14:paraId="3B49994F">
            <w:pPr>
              <w:spacing w:after="60"/>
              <w:rPr>
                <w:sz w:val="20"/>
                <w:szCs w:val="20"/>
              </w:rPr>
            </w:pPr>
            <w:r>
              <w:rPr>
                <w:rFonts w:ascii="Arial" w:hAnsi="Arial" w:eastAsia="Arial" w:cs="Arial"/>
                <w:color w:val="EAF4F7"/>
                <w:sz w:val="20"/>
                <w:szCs w:val="20"/>
              </w:rPr>
              <w:t xml:space="preserve">These three strategies are drawn from The Engaged Classroom — a flagship 2 to 5-day professional learning bootcamp for teachers that covers </w:t>
            </w:r>
            <w:r>
              <w:rPr>
                <w:rFonts w:hint="default" w:cs="Arial"/>
                <w:color w:val="EAF4F7"/>
                <w:sz w:val="20"/>
                <w:szCs w:val="20"/>
                <w:lang w:val="en-GB"/>
              </w:rPr>
              <w:t>20</w:t>
            </w:r>
            <w:r>
              <w:rPr>
                <w:rFonts w:ascii="Arial" w:hAnsi="Arial" w:eastAsia="Arial" w:cs="Arial"/>
                <w:color w:val="EAF4F7"/>
                <w:sz w:val="20"/>
                <w:szCs w:val="20"/>
              </w:rPr>
              <w:t>+ engagement strategies, differentiation,</w:t>
            </w:r>
            <w:r>
              <w:rPr>
                <w:rFonts w:hint="default" w:cs="Arial"/>
                <w:color w:val="EAF4F7"/>
                <w:sz w:val="20"/>
                <w:szCs w:val="20"/>
                <w:lang w:val="en-GB"/>
              </w:rPr>
              <w:t xml:space="preserve"> AI tools in teaching, Subject specific teaching and engagement  tools, </w:t>
            </w:r>
            <w:r>
              <w:rPr>
                <w:rFonts w:ascii="Arial" w:hAnsi="Arial" w:eastAsia="Arial" w:cs="Arial"/>
                <w:color w:val="EAF4F7"/>
                <w:sz w:val="20"/>
                <w:szCs w:val="20"/>
              </w:rPr>
              <w:t xml:space="preserve"> CBC-aligned formative assessment, classroom culture, and gamified learning.</w:t>
            </w:r>
          </w:p>
          <w:p w14:paraId="788973B8">
            <w:pPr>
              <w:spacing w:after="60"/>
              <w:rPr>
                <w:sz w:val="20"/>
                <w:szCs w:val="20"/>
              </w:rPr>
            </w:pPr>
            <w:r>
              <w:rPr>
                <w:rFonts w:ascii="Arial" w:hAnsi="Arial" w:eastAsia="Arial" w:cs="Arial"/>
                <w:i/>
                <w:iCs/>
                <w:color w:val="EAF4F7"/>
                <w:sz w:val="20"/>
                <w:szCs w:val="20"/>
              </w:rPr>
              <w:t>Schools that have experienced The Engaged Classroom Bootcamp report measurable improvements in learner participation, teacher confidence, and classroom energy — often visible from the very first lesson back.</w:t>
            </w:r>
          </w:p>
          <w:p w14:paraId="3DCA0167">
            <w:pPr>
              <w:spacing w:after="60"/>
              <w:rPr>
                <w:sz w:val="21"/>
                <w:szCs w:val="21"/>
              </w:rPr>
            </w:pPr>
            <w:r>
              <w:rPr>
                <w:rFonts w:ascii="Arial" w:hAnsi="Arial" w:eastAsia="Arial" w:cs="Arial"/>
                <w:b/>
                <w:bCs/>
                <w:color w:val="C8972A"/>
                <w:sz w:val="21"/>
                <w:szCs w:val="21"/>
              </w:rPr>
              <w:t>To explore what a professional learning partnership could look like for your school:</w:t>
            </w:r>
          </w:p>
          <w:tbl>
            <w:tblPr>
              <w:tblStyle w:val="9"/>
              <w:tblW w:w="8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40"/>
              <w:gridCol w:w="3919"/>
              <w:gridCol w:w="317"/>
              <w:gridCol w:w="2024"/>
            </w:tblGrid>
            <w:tr w14:paraId="30B8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Borders>
                    <w:top w:val="nil"/>
                    <w:left w:val="nil"/>
                    <w:bottom w:val="nil"/>
                    <w:right w:val="single" w:color="C8972A" w:sz="4" w:space="0"/>
                  </w:tcBorders>
                  <w:shd w:val="clear" w:color="auto" w:fill="1C3060"/>
                  <w:tcMar>
                    <w:top w:w="80" w:type="dxa"/>
                    <w:left w:w="100" w:type="dxa"/>
                    <w:bottom w:w="80" w:type="dxa"/>
                    <w:right w:w="100" w:type="dxa"/>
                  </w:tcMar>
                </w:tcPr>
                <w:p w14:paraId="791048D8">
                  <w:pPr>
                    <w:spacing w:after="30"/>
                    <w:jc w:val="center"/>
                    <w:rPr>
                      <w:rFonts w:hint="default"/>
                      <w:color w:val="FFFFFF" w:themeColor="background1"/>
                      <w:lang w:val="en-GB"/>
                      <w14:textFill>
                        <w14:solidFill>
                          <w14:schemeClr w14:val="bg1"/>
                        </w14:solidFill>
                      </w14:textFill>
                    </w:rPr>
                  </w:pPr>
                  <w:r>
                    <w:rPr>
                      <w:rFonts w:hint="default"/>
                      <w:color w:val="FFFFFF" w:themeColor="background1"/>
                      <w:lang w:val="en-GB"/>
                      <w14:textFill>
                        <w14:solidFill>
                          <w14:schemeClr w14:val="bg1"/>
                        </w14:solidFill>
                      </w14:textFill>
                    </w:rPr>
                    <w:t>+254714277335</w:t>
                  </w:r>
                </w:p>
                <w:p w14:paraId="2BFC2BDA">
                  <w:pPr>
                    <w:jc w:val="center"/>
                  </w:pPr>
                  <w:r>
                    <w:rPr>
                      <w:rFonts w:ascii="Arial" w:hAnsi="Arial" w:eastAsia="Arial" w:cs="Arial"/>
                      <w:color w:val="FFFFFF"/>
                      <w:sz w:val="17"/>
                      <w:szCs w:val="17"/>
                    </w:rPr>
                    <w:t>[Your Number]</w:t>
                  </w:r>
                </w:p>
              </w:tc>
              <w:tc>
                <w:tcPr>
                  <w:tcBorders>
                    <w:top w:val="nil"/>
                    <w:left w:val="nil"/>
                    <w:bottom w:val="nil"/>
                    <w:right w:val="single" w:color="C8972A" w:sz="4" w:space="0"/>
                  </w:tcBorders>
                  <w:shd w:val="clear" w:color="auto" w:fill="1C3060"/>
                  <w:tcMar>
                    <w:top w:w="80" w:type="dxa"/>
                    <w:left w:w="100" w:type="dxa"/>
                    <w:bottom w:w="80" w:type="dxa"/>
                    <w:right w:w="100" w:type="dxa"/>
                  </w:tcMar>
                </w:tcPr>
                <w:p w14:paraId="6A0F8822">
                  <w:pPr>
                    <w:spacing w:after="30"/>
                    <w:jc w:val="center"/>
                  </w:pPr>
                  <w:r>
                    <w:rPr>
                      <w:rFonts w:ascii="Arial" w:hAnsi="Arial" w:eastAsia="Arial" w:cs="Arial"/>
                      <w:b/>
                      <w:bCs/>
                      <w:color w:val="C8972A"/>
                      <w:sz w:val="16"/>
                      <w:szCs w:val="16"/>
                    </w:rPr>
                    <w:t>📧  EMAIL</w:t>
                  </w:r>
                </w:p>
                <w:p w14:paraId="0ABA1BF5">
                  <w:pPr>
                    <w:jc w:val="center"/>
                    <w:rPr>
                      <w:rFonts w:hint="default"/>
                      <w:lang w:val="en-GB"/>
                    </w:rPr>
                  </w:pPr>
                  <w:r>
                    <w:rPr>
                      <w:rFonts w:hint="default"/>
                      <w:color w:val="FFFFFF" w:themeColor="background1"/>
                      <w:lang w:val="en-GB"/>
                      <w14:textFill>
                        <w14:solidFill>
                          <w14:schemeClr w14:val="bg1"/>
                        </w14:solidFill>
                      </w14:textFill>
                    </w:rPr>
                    <w:t>Mindvalley23@yahoo,com</w:t>
                  </w:r>
                </w:p>
              </w:tc>
              <w:tc>
                <w:tcPr>
                  <w:tcBorders>
                    <w:top w:val="nil"/>
                    <w:left w:val="nil"/>
                    <w:bottom w:val="nil"/>
                    <w:right w:val="single" w:color="C8972A" w:sz="4" w:space="0"/>
                  </w:tcBorders>
                  <w:shd w:val="clear" w:color="auto" w:fill="1C3060"/>
                  <w:tcMar>
                    <w:top w:w="80" w:type="dxa"/>
                    <w:left w:w="100" w:type="dxa"/>
                    <w:bottom w:w="80" w:type="dxa"/>
                    <w:right w:w="100" w:type="dxa"/>
                  </w:tcMar>
                </w:tcPr>
                <w:p w14:paraId="1DCB572E">
                  <w:pPr>
                    <w:jc w:val="both"/>
                  </w:pPr>
                </w:p>
              </w:tc>
              <w:tc>
                <w:tcPr>
                  <w:tcBorders>
                    <w:top w:val="nil"/>
                    <w:left w:val="nil"/>
                    <w:bottom w:val="nil"/>
                    <w:right w:val="nil"/>
                  </w:tcBorders>
                  <w:shd w:val="clear" w:color="auto" w:fill="1C3060"/>
                  <w:tcMar>
                    <w:top w:w="80" w:type="dxa"/>
                    <w:left w:w="100" w:type="dxa"/>
                    <w:bottom w:w="80" w:type="dxa"/>
                    <w:right w:w="100" w:type="dxa"/>
                  </w:tcMar>
                </w:tcPr>
                <w:p w14:paraId="13A4F6D8">
                  <w:pPr>
                    <w:spacing w:after="30"/>
                    <w:jc w:val="center"/>
                  </w:pPr>
                  <w:r>
                    <w:rPr>
                      <w:rFonts w:ascii="Arial" w:hAnsi="Arial" w:eastAsia="Arial" w:cs="Arial"/>
                      <w:b/>
                      <w:bCs/>
                      <w:color w:val="C8972A"/>
                      <w:sz w:val="16"/>
                      <w:szCs w:val="16"/>
                    </w:rPr>
                    <w:t xml:space="preserve"> LOCATION</w:t>
                  </w:r>
                </w:p>
                <w:p w14:paraId="67E92288">
                  <w:pPr>
                    <w:jc w:val="center"/>
                  </w:pPr>
                  <w:r>
                    <w:rPr>
                      <w:rFonts w:ascii="Arial" w:hAnsi="Arial" w:eastAsia="Arial" w:cs="Arial"/>
                      <w:color w:val="FFFFFF"/>
                      <w:sz w:val="17"/>
                      <w:szCs w:val="17"/>
                    </w:rPr>
                    <w:t>Nairobi, Kenya</w:t>
                  </w:r>
                </w:p>
              </w:tc>
            </w:tr>
          </w:tbl>
          <w:p w14:paraId="23CDE552">
            <w:pPr>
              <w:spacing w:before="40" w:after="40"/>
            </w:pPr>
          </w:p>
          <w:p w14:paraId="3B11C3A1">
            <w:pPr>
              <w:spacing w:before="0" w:after="40"/>
              <w:jc w:val="center"/>
              <w:rPr>
                <w:sz w:val="22"/>
                <w:szCs w:val="22"/>
              </w:rPr>
            </w:pPr>
            <w:r>
              <w:rPr>
                <w:rFonts w:ascii="Arial" w:hAnsi="Arial" w:eastAsia="Arial" w:cs="Arial"/>
                <w:b/>
                <w:bCs/>
                <w:color w:val="EAF4F7"/>
                <w:sz w:val="22"/>
                <w:szCs w:val="22"/>
              </w:rPr>
              <w:t>Dr. Victoria Wanambiro, PhD  |  Educational Consultant &amp; Teaching Excellence Coach</w:t>
            </w:r>
          </w:p>
          <w:p w14:paraId="07C54ACD">
            <w:pPr>
              <w:spacing w:before="0" w:after="60"/>
              <w:jc w:val="center"/>
            </w:pPr>
            <w:r>
              <w:rPr>
                <w:rFonts w:ascii="Arial" w:hAnsi="Arial" w:eastAsia="Arial" w:cs="Arial"/>
                <w:i/>
                <w:iCs/>
                <w:color w:val="C8972A"/>
                <w:sz w:val="22"/>
                <w:szCs w:val="22"/>
              </w:rPr>
              <w:t>“ Inspiring Learners. Empowering Teachers. Transforming Schools. ”</w:t>
            </w:r>
          </w:p>
        </w:tc>
      </w:tr>
    </w:tbl>
    <w:p w14:paraId="62B5C767">
      <w:pPr>
        <w:spacing w:before="40" w:after="20"/>
      </w:pPr>
    </w:p>
    <w:p w14:paraId="1B012257">
      <w:pPr>
        <w:spacing w:before="0" w:after="20"/>
        <w:jc w:val="center"/>
      </w:pPr>
      <w:r>
        <w:rPr>
          <w:rFonts w:ascii="Arial" w:hAnsi="Arial" w:eastAsia="Arial" w:cs="Arial"/>
          <w:i/>
          <w:iCs/>
          <w:color w:val="4A4A4A"/>
          <w:sz w:val="15"/>
          <w:szCs w:val="15"/>
        </w:rPr>
        <w:t xml:space="preserve">© TeachMinds Center of Teaching and Learning Excellence. This resource is a free gift for educators. </w:t>
      </w:r>
      <w:r>
        <w:rPr>
          <w:rFonts w:ascii="Arial" w:hAnsi="Arial" w:eastAsia="Arial" w:cs="Arial"/>
          <w:b/>
          <w:bCs/>
          <w:i/>
          <w:iCs/>
          <w:color w:val="0D7C8F"/>
          <w:sz w:val="15"/>
          <w:szCs w:val="15"/>
        </w:rPr>
        <w:t>Please share it freely with your colleagues.</w:t>
      </w:r>
    </w:p>
    <w:sectPr>
      <w:pgSz w:w="11906" w:h="16838"/>
      <w:pgMar w:top="720" w:right="720" w:bottom="720" w:left="72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Arial">
    <w:panose1 w:val="020B0604020202020204"/>
    <w:charset w:val="86"/>
    <w:family w:val="swiss"/>
    <w:pitch w:val="default"/>
    <w:sig w:usb0="E0002EFF" w:usb1="C000785B" w:usb2="00000009" w:usb3="00000000" w:csb0="400001FF" w:csb1="FFFF0000"/>
  </w:font>
  <w:font w:name="Segoe UI Emoji">
    <w:panose1 w:val="020B0502040204020203"/>
    <w:charset w:val="00"/>
    <w:family w:val="auto"/>
    <w:pitch w:val="default"/>
    <w:sig w:usb0="00000001" w:usb1="02000000" w:usb2="08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isplayBackgroundShape w:val="1"/>
  <w:documentProtection w:enforcement="0"/>
  <w:compat>
    <w:compatSetting w:name="compatibilityMode" w:uri="http://schemas.microsoft.com/office/word" w:val="15"/>
  </w:compat>
  <w:rsids>
    <w:rsidRoot w:val="00000000"/>
    <w:rsid w:val="02040D43"/>
    <w:rsid w:val="0ECC1455"/>
    <w:rsid w:val="52933407"/>
    <w:rsid w:val="5C8E20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Arial" w:cs="Arial"/>
      <w:color w:val="4A4A4A"/>
      <w:sz w:val="20"/>
      <w:szCs w:val="20"/>
    </w:rPr>
  </w:style>
  <w:style w:type="paragraph" w:styleId="2">
    <w:name w:val="heading 1"/>
    <w:next w:val="1"/>
    <w:qFormat/>
    <w:uiPriority w:val="0"/>
    <w:rPr>
      <w:rFonts w:ascii="Arial" w:hAnsi="Arial" w:eastAsia="Arial" w:cs="Arial"/>
      <w:color w:val="2E74B5"/>
      <w:sz w:val="32"/>
      <w:szCs w:val="32"/>
    </w:rPr>
  </w:style>
  <w:style w:type="paragraph" w:styleId="3">
    <w:name w:val="heading 2"/>
    <w:next w:val="1"/>
    <w:qFormat/>
    <w:uiPriority w:val="0"/>
    <w:pPr>
      <w:spacing w:before="240" w:after="80"/>
      <w:outlineLvl w:val="1"/>
    </w:pPr>
    <w:rPr>
      <w:rFonts w:ascii="Arial" w:hAnsi="Arial" w:eastAsia="Arial" w:cs="Arial"/>
      <w:b/>
      <w:bCs/>
      <w:color w:val="0D7C8F"/>
      <w:sz w:val="24"/>
      <w:szCs w:val="24"/>
    </w:rPr>
  </w:style>
  <w:style w:type="paragraph" w:styleId="4">
    <w:name w:val="heading 3"/>
    <w:next w:val="1"/>
    <w:qFormat/>
    <w:uiPriority w:val="0"/>
    <w:rPr>
      <w:rFonts w:ascii="Arial" w:hAnsi="Arial" w:eastAsia="Arial" w:cs="Arial"/>
      <w:color w:val="1F4D78"/>
      <w:sz w:val="24"/>
      <w:szCs w:val="24"/>
    </w:rPr>
  </w:style>
  <w:style w:type="paragraph" w:styleId="5">
    <w:name w:val="heading 4"/>
    <w:next w:val="1"/>
    <w:qFormat/>
    <w:uiPriority w:val="0"/>
    <w:rPr>
      <w:rFonts w:ascii="Arial" w:hAnsi="Arial" w:eastAsia="Arial" w:cs="Arial"/>
      <w:i/>
      <w:iCs/>
      <w:color w:val="2E74B5"/>
      <w:sz w:val="20"/>
      <w:szCs w:val="20"/>
    </w:rPr>
  </w:style>
  <w:style w:type="paragraph" w:styleId="6">
    <w:name w:val="heading 5"/>
    <w:next w:val="1"/>
    <w:qFormat/>
    <w:uiPriority w:val="0"/>
    <w:rPr>
      <w:rFonts w:ascii="Arial" w:hAnsi="Arial" w:eastAsia="Arial" w:cs="Arial"/>
      <w:color w:val="2E74B5"/>
      <w:sz w:val="20"/>
      <w:szCs w:val="20"/>
    </w:rPr>
  </w:style>
  <w:style w:type="paragraph" w:styleId="7">
    <w:name w:val="heading 6"/>
    <w:next w:val="1"/>
    <w:qFormat/>
    <w:uiPriority w:val="0"/>
    <w:rPr>
      <w:rFonts w:ascii="Arial" w:hAnsi="Arial" w:eastAsia="Arial" w:cs="Arial"/>
      <w:color w:val="1F4D78"/>
      <w:sz w:val="20"/>
      <w:szCs w:val="20"/>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8"/>
    <w:semiHidden/>
    <w:unhideWhenUsed/>
    <w:qFormat/>
    <w:uiPriority w:val="99"/>
    <w:pPr>
      <w:spacing w:after="0" w:line="240" w:lineRule="auto"/>
    </w:pPr>
    <w:rPr>
      <w:rFonts w:ascii="Arial" w:hAnsi="Arial" w:eastAsia="Arial" w:cs="Arial"/>
      <w:color w:val="4A4A4A"/>
      <w:sz w:val="20"/>
      <w:szCs w:val="20"/>
    </w:rPr>
  </w:style>
  <w:style w:type="character" w:styleId="12">
    <w:name w:val="footnote reference"/>
    <w:semiHidden/>
    <w:unhideWhenUsed/>
    <w:qFormat/>
    <w:uiPriority w:val="99"/>
    <w:rPr>
      <w:vertAlign w:val="superscript"/>
    </w:rPr>
  </w:style>
  <w:style w:type="paragraph" w:styleId="13">
    <w:name w:val="footnote text"/>
    <w:link w:val="17"/>
    <w:semiHidden/>
    <w:unhideWhenUsed/>
    <w:qFormat/>
    <w:uiPriority w:val="99"/>
    <w:pPr>
      <w:spacing w:after="0" w:line="240" w:lineRule="auto"/>
    </w:pPr>
    <w:rPr>
      <w:rFonts w:ascii="Arial" w:hAnsi="Arial" w:eastAsia="Arial" w:cs="Arial"/>
      <w:color w:val="4A4A4A"/>
      <w:sz w:val="20"/>
      <w:szCs w:val="20"/>
    </w:rPr>
  </w:style>
  <w:style w:type="character" w:styleId="14">
    <w:name w:val="Hyperlink"/>
    <w:unhideWhenUsed/>
    <w:qFormat/>
    <w:uiPriority w:val="99"/>
    <w:rPr>
      <w:color w:val="0563C1"/>
      <w:u w:val="single"/>
    </w:rPr>
  </w:style>
  <w:style w:type="paragraph" w:styleId="15">
    <w:name w:val="Title"/>
    <w:qFormat/>
    <w:uiPriority w:val="0"/>
    <w:rPr>
      <w:rFonts w:ascii="Arial" w:hAnsi="Arial" w:eastAsia="Arial" w:cs="Arial"/>
      <w:color w:val="4A4A4A"/>
      <w:sz w:val="56"/>
      <w:szCs w:val="56"/>
    </w:rPr>
  </w:style>
  <w:style w:type="paragraph" w:styleId="16">
    <w:name w:val="List Paragraph"/>
    <w:qFormat/>
    <w:uiPriority w:val="0"/>
    <w:rPr>
      <w:rFonts w:ascii="Arial" w:hAnsi="Arial" w:eastAsia="Arial" w:cs="Arial"/>
      <w:color w:val="4A4A4A"/>
      <w:sz w:val="20"/>
      <w:szCs w:val="20"/>
    </w:rPr>
  </w:style>
  <w:style w:type="character" w:customStyle="1" w:styleId="17">
    <w:name w:val="Footnote Text Char"/>
    <w:link w:val="13"/>
    <w:semiHidden/>
    <w:unhideWhenUsed/>
    <w:qFormat/>
    <w:uiPriority w:val="99"/>
    <w:rPr>
      <w:sz w:val="20"/>
      <w:szCs w:val="20"/>
    </w:rPr>
  </w:style>
  <w:style w:type="character" w:customStyle="1" w:styleId="18">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1081</Words>
  <Characters>5546</Characters>
  <TotalTime>1113</TotalTime>
  <ScaleCrop>false</ScaleCrop>
  <LinksUpToDate>false</LinksUpToDate>
  <CharactersWithSpaces>6592</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2026-09-07T08:45:00Z</dcterms:created>
  <dc:creator>TeachMinds Center of Teaching and Learning Excellence</dc:creator>
  <cp:lastModifiedBy>mindvalley maintraining</cp:lastModifiedBy>
  <dcterms:modified xsi:type="dcterms:W3CDTF">2026-09-08T19:15:51Z</dcterms:modified>
  <dc:title>3 Classroom Strategies That Immediately Increase Learner Participation</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eyJoZGlkIjoiMzdlZWUyOGQzM2RiNDY5ODA3MmYyMGM2NmJiOWJjM2EiLCJ1c2VySWQiOiIzNzI4NTIzNzE0MzcyIn0=</vt:lpwstr>
  </property>
  <property fmtid="{D5CDD505-2E9C-101B-9397-08002B2CF9AE}" pid="3" name="KSOProductBuildVer">
    <vt:lpwstr>1033-12.1.0.28485</vt:lpwstr>
  </property>
  <property fmtid="{D5CDD505-2E9C-101B-9397-08002B2CF9AE}" pid="4" name="ICV">
    <vt:lpwstr>681AC3A01D334CD9A5D5E36561E31738_13</vt:lpwstr>
  </property>
</Properties>
</file>